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exact"/>
        <w:jc w:val="center"/>
        <w:rPr>
          <w:rFonts w:ascii="方正小标宋简体" w:hAnsi="方正小标宋简体" w:eastAsia="方正小标宋简体" w:cs="方正小标宋简体"/>
          <w:w w:val="95"/>
          <w:sz w:val="44"/>
          <w:szCs w:val="44"/>
          <w:highlight w:val="none"/>
        </w:rPr>
      </w:pPr>
      <w:r>
        <w:rPr>
          <w:rFonts w:hint="eastAsia" w:ascii="方正小标宋简体" w:hAnsi="方正小标宋简体" w:eastAsia="方正小标宋简体" w:cs="方正小标宋简体"/>
          <w:sz w:val="44"/>
          <w:szCs w:val="44"/>
          <w:highlight w:val="none"/>
        </w:rPr>
        <w:t>安徽省水电有限责任公司2024年度第二次公开引进岗位简章</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ascii="方正小标宋简体" w:eastAsia="方正小标宋简体"/>
          <w:w w:val="95"/>
          <w:sz w:val="20"/>
          <w:szCs w:val="20"/>
        </w:rPr>
      </w:pPr>
    </w:p>
    <w:tbl>
      <w:tblPr>
        <w:tblStyle w:val="3"/>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33"/>
        <w:gridCol w:w="1575"/>
        <w:gridCol w:w="572"/>
        <w:gridCol w:w="1425"/>
        <w:gridCol w:w="1144"/>
        <w:gridCol w:w="863"/>
        <w:gridCol w:w="467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blHeader/>
          <w:jc w:val="center"/>
        </w:trPr>
        <w:tc>
          <w:tcPr>
            <w:tcW w:w="637" w:type="dxa"/>
            <w:vMerge w:val="restart"/>
            <w:vAlign w:val="center"/>
          </w:tcPr>
          <w:p>
            <w:pPr>
              <w:spacing w:line="260" w:lineRule="exact"/>
              <w:jc w:val="center"/>
              <w:rPr>
                <w:rFonts w:eastAsia="黑体"/>
                <w:bCs/>
                <w:color w:val="000000"/>
                <w:kern w:val="0"/>
                <w:sz w:val="20"/>
                <w:szCs w:val="20"/>
              </w:rPr>
            </w:pPr>
            <w:r>
              <w:rPr>
                <w:rFonts w:eastAsia="黑体"/>
                <w:bCs/>
                <w:color w:val="000000"/>
                <w:kern w:val="0"/>
                <w:sz w:val="20"/>
                <w:szCs w:val="20"/>
              </w:rPr>
              <w:t>岗位</w:t>
            </w:r>
          </w:p>
          <w:p>
            <w:pPr>
              <w:spacing w:line="260" w:lineRule="exact"/>
              <w:jc w:val="center"/>
              <w:rPr>
                <w:rFonts w:eastAsia="黑体"/>
                <w:bCs/>
                <w:color w:val="000000"/>
                <w:kern w:val="0"/>
                <w:sz w:val="20"/>
                <w:szCs w:val="20"/>
              </w:rPr>
            </w:pPr>
            <w:r>
              <w:rPr>
                <w:rFonts w:eastAsia="黑体"/>
                <w:bCs/>
                <w:color w:val="000000"/>
                <w:kern w:val="0"/>
                <w:sz w:val="20"/>
                <w:szCs w:val="20"/>
              </w:rPr>
              <w:t>序号</w:t>
            </w:r>
          </w:p>
        </w:tc>
        <w:tc>
          <w:tcPr>
            <w:tcW w:w="1333" w:type="dxa"/>
            <w:vMerge w:val="restart"/>
            <w:vAlign w:val="center"/>
          </w:tcPr>
          <w:p>
            <w:pPr>
              <w:spacing w:line="300" w:lineRule="exact"/>
              <w:jc w:val="center"/>
              <w:rPr>
                <w:rFonts w:eastAsia="黑体"/>
                <w:bCs/>
                <w:color w:val="000000"/>
                <w:kern w:val="0"/>
                <w:sz w:val="20"/>
                <w:szCs w:val="20"/>
              </w:rPr>
            </w:pPr>
            <w:r>
              <w:rPr>
                <w:rFonts w:hint="eastAsia" w:eastAsia="黑体"/>
                <w:bCs/>
                <w:color w:val="000000"/>
                <w:kern w:val="0"/>
                <w:sz w:val="20"/>
                <w:szCs w:val="20"/>
              </w:rPr>
              <w:t>引进</w:t>
            </w:r>
            <w:r>
              <w:rPr>
                <w:rFonts w:eastAsia="黑体"/>
                <w:bCs/>
                <w:color w:val="000000"/>
                <w:kern w:val="0"/>
                <w:sz w:val="20"/>
                <w:szCs w:val="20"/>
              </w:rPr>
              <w:t>单位</w:t>
            </w:r>
          </w:p>
        </w:tc>
        <w:tc>
          <w:tcPr>
            <w:tcW w:w="1575" w:type="dxa"/>
            <w:vMerge w:val="restart"/>
            <w:vAlign w:val="center"/>
          </w:tcPr>
          <w:p>
            <w:pPr>
              <w:spacing w:line="300" w:lineRule="exact"/>
              <w:jc w:val="center"/>
              <w:rPr>
                <w:rFonts w:eastAsia="黑体"/>
                <w:bCs/>
                <w:color w:val="000000"/>
                <w:kern w:val="0"/>
                <w:sz w:val="20"/>
                <w:szCs w:val="20"/>
              </w:rPr>
            </w:pPr>
            <w:r>
              <w:rPr>
                <w:rFonts w:eastAsia="黑体"/>
                <w:bCs/>
                <w:color w:val="000000"/>
                <w:kern w:val="0"/>
                <w:sz w:val="20"/>
                <w:szCs w:val="20"/>
              </w:rPr>
              <w:t>岗位</w:t>
            </w:r>
          </w:p>
        </w:tc>
        <w:tc>
          <w:tcPr>
            <w:tcW w:w="572" w:type="dxa"/>
            <w:vMerge w:val="restart"/>
            <w:vAlign w:val="center"/>
          </w:tcPr>
          <w:p>
            <w:pPr>
              <w:spacing w:line="260" w:lineRule="exact"/>
              <w:jc w:val="center"/>
              <w:rPr>
                <w:kern w:val="0"/>
                <w:sz w:val="16"/>
                <w:szCs w:val="18"/>
              </w:rPr>
            </w:pPr>
            <w:r>
              <w:rPr>
                <w:rFonts w:hint="eastAsia" w:eastAsia="黑体"/>
                <w:bCs/>
                <w:color w:val="000000"/>
                <w:kern w:val="0"/>
                <w:sz w:val="20"/>
                <w:szCs w:val="20"/>
              </w:rPr>
              <w:t>引进</w:t>
            </w:r>
            <w:r>
              <w:rPr>
                <w:rFonts w:eastAsia="黑体"/>
                <w:bCs/>
                <w:color w:val="000000"/>
                <w:kern w:val="0"/>
                <w:sz w:val="20"/>
                <w:szCs w:val="20"/>
              </w:rPr>
              <w:t>人数</w:t>
            </w:r>
          </w:p>
        </w:tc>
        <w:tc>
          <w:tcPr>
            <w:tcW w:w="8102" w:type="dxa"/>
            <w:gridSpan w:val="4"/>
            <w:vAlign w:val="center"/>
          </w:tcPr>
          <w:p>
            <w:pPr>
              <w:spacing w:line="300" w:lineRule="exact"/>
              <w:jc w:val="center"/>
              <w:rPr>
                <w:kern w:val="0"/>
                <w:sz w:val="20"/>
                <w:szCs w:val="20"/>
              </w:rPr>
            </w:pPr>
            <w:r>
              <w:rPr>
                <w:rFonts w:eastAsia="黑体"/>
                <w:bCs/>
                <w:color w:val="000000"/>
                <w:kern w:val="0"/>
                <w:sz w:val="28"/>
                <w:szCs w:val="28"/>
              </w:rPr>
              <w:t>应  聘  条  件  要  求</w:t>
            </w:r>
          </w:p>
        </w:tc>
        <w:tc>
          <w:tcPr>
            <w:tcW w:w="1718" w:type="dxa"/>
            <w:vMerge w:val="restart"/>
            <w:vAlign w:val="center"/>
          </w:tcPr>
          <w:p>
            <w:pPr>
              <w:spacing w:line="300" w:lineRule="exact"/>
              <w:jc w:val="center"/>
              <w:rPr>
                <w:rFonts w:eastAsia="黑体"/>
                <w:bCs/>
                <w:color w:val="000000"/>
                <w:kern w:val="0"/>
                <w:sz w:val="24"/>
                <w:szCs w:val="24"/>
              </w:rPr>
            </w:pPr>
            <w:r>
              <w:rPr>
                <w:rFonts w:hint="eastAsia" w:eastAsia="黑体"/>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37" w:type="dxa"/>
            <w:vMerge w:val="continue"/>
            <w:vAlign w:val="center"/>
          </w:tcPr>
          <w:p>
            <w:pPr>
              <w:spacing w:line="20" w:lineRule="exact"/>
              <w:jc w:val="center"/>
              <w:rPr>
                <w:kern w:val="0"/>
                <w:sz w:val="20"/>
                <w:szCs w:val="20"/>
              </w:rPr>
            </w:pPr>
          </w:p>
        </w:tc>
        <w:tc>
          <w:tcPr>
            <w:tcW w:w="1333" w:type="dxa"/>
            <w:vMerge w:val="continue"/>
            <w:vAlign w:val="center"/>
          </w:tcPr>
          <w:p>
            <w:pPr>
              <w:spacing w:line="20" w:lineRule="exact"/>
              <w:jc w:val="center"/>
              <w:rPr>
                <w:kern w:val="0"/>
                <w:sz w:val="20"/>
                <w:szCs w:val="20"/>
              </w:rPr>
            </w:pPr>
          </w:p>
        </w:tc>
        <w:tc>
          <w:tcPr>
            <w:tcW w:w="1575" w:type="dxa"/>
            <w:vMerge w:val="continue"/>
            <w:vAlign w:val="center"/>
          </w:tcPr>
          <w:p>
            <w:pPr>
              <w:spacing w:line="20" w:lineRule="exact"/>
              <w:jc w:val="center"/>
              <w:rPr>
                <w:kern w:val="0"/>
                <w:sz w:val="20"/>
                <w:szCs w:val="20"/>
              </w:rPr>
            </w:pPr>
          </w:p>
        </w:tc>
        <w:tc>
          <w:tcPr>
            <w:tcW w:w="572" w:type="dxa"/>
            <w:vMerge w:val="continue"/>
            <w:vAlign w:val="center"/>
          </w:tcPr>
          <w:p>
            <w:pPr>
              <w:spacing w:line="20" w:lineRule="exact"/>
              <w:jc w:val="center"/>
              <w:rPr>
                <w:kern w:val="0"/>
                <w:sz w:val="20"/>
                <w:szCs w:val="20"/>
              </w:rPr>
            </w:pPr>
          </w:p>
        </w:tc>
        <w:tc>
          <w:tcPr>
            <w:tcW w:w="1425" w:type="dxa"/>
            <w:vAlign w:val="center"/>
          </w:tcPr>
          <w:p>
            <w:pPr>
              <w:spacing w:line="300" w:lineRule="exact"/>
              <w:jc w:val="center"/>
              <w:rPr>
                <w:kern w:val="0"/>
                <w:sz w:val="20"/>
                <w:szCs w:val="20"/>
              </w:rPr>
            </w:pPr>
            <w:r>
              <w:rPr>
                <w:rFonts w:eastAsia="黑体"/>
                <w:bCs/>
                <w:color w:val="000000"/>
                <w:kern w:val="0"/>
                <w:sz w:val="20"/>
                <w:szCs w:val="21"/>
              </w:rPr>
              <w:t>专业</w:t>
            </w:r>
          </w:p>
        </w:tc>
        <w:tc>
          <w:tcPr>
            <w:tcW w:w="1144" w:type="dxa"/>
            <w:vAlign w:val="center"/>
          </w:tcPr>
          <w:p>
            <w:pPr>
              <w:spacing w:line="300" w:lineRule="exact"/>
              <w:jc w:val="center"/>
              <w:rPr>
                <w:kern w:val="0"/>
                <w:sz w:val="20"/>
                <w:szCs w:val="20"/>
              </w:rPr>
            </w:pPr>
            <w:r>
              <w:rPr>
                <w:rFonts w:eastAsia="黑体"/>
                <w:bCs/>
                <w:color w:val="000000"/>
                <w:kern w:val="0"/>
                <w:sz w:val="20"/>
                <w:szCs w:val="21"/>
              </w:rPr>
              <w:t>学历（学位）要求</w:t>
            </w:r>
          </w:p>
        </w:tc>
        <w:tc>
          <w:tcPr>
            <w:tcW w:w="863" w:type="dxa"/>
            <w:vAlign w:val="center"/>
          </w:tcPr>
          <w:p>
            <w:pPr>
              <w:spacing w:line="300" w:lineRule="exact"/>
              <w:jc w:val="center"/>
              <w:rPr>
                <w:kern w:val="0"/>
                <w:sz w:val="20"/>
                <w:szCs w:val="20"/>
              </w:rPr>
            </w:pPr>
            <w:r>
              <w:rPr>
                <w:rFonts w:eastAsia="黑体"/>
                <w:bCs/>
                <w:color w:val="000000"/>
                <w:kern w:val="0"/>
                <w:sz w:val="20"/>
                <w:szCs w:val="21"/>
              </w:rPr>
              <w:t>年龄</w:t>
            </w:r>
          </w:p>
        </w:tc>
        <w:tc>
          <w:tcPr>
            <w:tcW w:w="4670" w:type="dxa"/>
            <w:vAlign w:val="center"/>
          </w:tcPr>
          <w:p>
            <w:pPr>
              <w:spacing w:line="300" w:lineRule="exact"/>
              <w:jc w:val="center"/>
              <w:rPr>
                <w:rFonts w:eastAsia="黑体"/>
                <w:bCs/>
                <w:color w:val="000000"/>
                <w:kern w:val="0"/>
                <w:sz w:val="20"/>
                <w:szCs w:val="21"/>
              </w:rPr>
            </w:pPr>
            <w:r>
              <w:rPr>
                <w:rFonts w:eastAsia="黑体"/>
                <w:bCs/>
                <w:color w:val="000000"/>
                <w:kern w:val="0"/>
                <w:sz w:val="20"/>
                <w:szCs w:val="21"/>
              </w:rPr>
              <w:t>应聘资格</w:t>
            </w:r>
          </w:p>
        </w:tc>
        <w:tc>
          <w:tcPr>
            <w:tcW w:w="1718" w:type="dxa"/>
            <w:vMerge w:val="continue"/>
            <w:vAlign w:val="center"/>
          </w:tcPr>
          <w:p>
            <w:pPr>
              <w:spacing w:line="20" w:lineRule="exact"/>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637"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1333"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安徽省禹顺水利工程管理有限公司</w:t>
            </w:r>
          </w:p>
        </w:tc>
        <w:tc>
          <w:tcPr>
            <w:tcW w:w="1575"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总监理工程师</w:t>
            </w:r>
          </w:p>
        </w:tc>
        <w:tc>
          <w:tcPr>
            <w:tcW w:w="572" w:type="dxa"/>
            <w:vAlign w:val="center"/>
          </w:tcPr>
          <w:p>
            <w:pPr>
              <w:spacing w:line="300" w:lineRule="exact"/>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w:t>
            </w:r>
          </w:p>
        </w:tc>
        <w:tc>
          <w:tcPr>
            <w:tcW w:w="1425" w:type="dxa"/>
            <w:vAlign w:val="center"/>
          </w:tcPr>
          <w:p>
            <w:pPr>
              <w:spacing w:line="300" w:lineRule="exact"/>
              <w:jc w:val="center"/>
              <w:rPr>
                <w:rFonts w:ascii="仿宋_GB2312" w:hAnsi="仿宋_GB2312" w:eastAsia="仿宋_GB2312" w:cs="仿宋_GB2312"/>
                <w:color w:val="000000"/>
                <w:kern w:val="0"/>
                <w:szCs w:val="21"/>
              </w:rPr>
            </w:pPr>
          </w:p>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不限</w:t>
            </w:r>
          </w:p>
        </w:tc>
        <w:tc>
          <w:tcPr>
            <w:tcW w:w="1144" w:type="dxa"/>
            <w:vAlign w:val="center"/>
          </w:tcPr>
          <w:p>
            <w:pPr>
              <w:spacing w:line="300" w:lineRule="exact"/>
              <w:jc w:val="center"/>
              <w:rPr>
                <w:rFonts w:ascii="仿宋_GB2312" w:hAnsi="仿宋_GB2312" w:eastAsia="仿宋_GB2312" w:cs="仿宋_GB2312"/>
                <w:color w:val="000000"/>
                <w:kern w:val="0"/>
                <w:szCs w:val="21"/>
              </w:rPr>
            </w:pPr>
          </w:p>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不限</w:t>
            </w:r>
          </w:p>
        </w:tc>
        <w:tc>
          <w:tcPr>
            <w:tcW w:w="863"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55周岁及以下</w:t>
            </w:r>
          </w:p>
        </w:tc>
        <w:tc>
          <w:tcPr>
            <w:tcW w:w="4670" w:type="dxa"/>
            <w:vAlign w:val="center"/>
          </w:tcPr>
          <w:p>
            <w:pPr>
              <w:pStyle w:val="2"/>
              <w:widowControl/>
              <w:spacing w:beforeAutospacing="1" w:afterAutospacing="1"/>
              <w:ind w:firstLine="480"/>
              <w:jc w:val="left"/>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1.具有水利水电类高级工程师职称（国有）及水利水电类监理工程师执业资格；</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.机电与金属结构专业监理工程师优先</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.具有工程相关工作</w:t>
            </w:r>
            <w:r>
              <w:rPr>
                <w:rFonts w:hint="eastAsia" w:ascii="仿宋_GB2312" w:hAnsi="仿宋_GB2312" w:eastAsia="仿宋_GB2312" w:cs="仿宋_GB2312"/>
                <w:color w:val="000000"/>
                <w:sz w:val="21"/>
                <w:szCs w:val="21"/>
                <w:lang w:val="en-US" w:eastAsia="zh-CN"/>
              </w:rPr>
              <w:t>经历者优先</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.热爱水利事业，有较强的组织协调能力和管理能力，吃苦耐劳，责任心强，有较强的沟通能力和团队合作精神；</w:t>
            </w: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.熟练操作办公软件，具备一定的计算机操作能力。</w:t>
            </w:r>
          </w:p>
        </w:tc>
        <w:tc>
          <w:tcPr>
            <w:tcW w:w="1718" w:type="dxa"/>
            <w:vAlign w:val="center"/>
          </w:tcPr>
          <w:p>
            <w:pPr>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至60周岁时合并社保缴费年限需满 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637"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333"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安徽省禹顺水利工程管理有限公司</w:t>
            </w:r>
          </w:p>
        </w:tc>
        <w:tc>
          <w:tcPr>
            <w:tcW w:w="1575" w:type="dxa"/>
            <w:vAlign w:val="center"/>
          </w:tcPr>
          <w:p>
            <w:pPr>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监理工程师</w:t>
            </w:r>
          </w:p>
          <w:p>
            <w:pPr>
              <w:spacing w:line="300" w:lineRule="exact"/>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水利工程一级造价工程师</w:t>
            </w:r>
            <w:r>
              <w:rPr>
                <w:rFonts w:hint="eastAsia" w:ascii="仿宋_GB2312" w:hAnsi="仿宋_GB2312" w:eastAsia="仿宋_GB2312" w:cs="仿宋_GB2312"/>
                <w:color w:val="000000"/>
                <w:kern w:val="0"/>
                <w:szCs w:val="21"/>
                <w:lang w:eastAsia="zh-CN"/>
              </w:rPr>
              <w:t>）</w:t>
            </w:r>
          </w:p>
        </w:tc>
        <w:tc>
          <w:tcPr>
            <w:tcW w:w="572" w:type="dxa"/>
            <w:vAlign w:val="center"/>
          </w:tcPr>
          <w:p>
            <w:pPr>
              <w:spacing w:line="300" w:lineRule="exact"/>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w:t>
            </w:r>
          </w:p>
        </w:tc>
        <w:tc>
          <w:tcPr>
            <w:tcW w:w="1425" w:type="dxa"/>
            <w:vAlign w:val="center"/>
          </w:tcPr>
          <w:p>
            <w:pPr>
              <w:spacing w:line="300" w:lineRule="exact"/>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不限</w:t>
            </w:r>
          </w:p>
        </w:tc>
        <w:tc>
          <w:tcPr>
            <w:tcW w:w="1144"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大专及以上</w:t>
            </w:r>
          </w:p>
        </w:tc>
        <w:tc>
          <w:tcPr>
            <w:tcW w:w="863" w:type="dxa"/>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55周岁及以下</w:t>
            </w:r>
          </w:p>
        </w:tc>
        <w:tc>
          <w:tcPr>
            <w:tcW w:w="4670" w:type="dxa"/>
            <w:vAlign w:val="center"/>
          </w:tcPr>
          <w:p>
            <w:pPr>
              <w:pStyle w:val="2"/>
              <w:widowControl/>
              <w:spacing w:beforeAutospacing="1" w:afterAutospacing="1"/>
              <w:ind w:firstLine="480"/>
              <w:jc w:val="left"/>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1.具有监理工程师注册证书（水利工程优先）或</w:t>
            </w:r>
            <w:r>
              <w:rPr>
                <w:rFonts w:hint="eastAsia" w:ascii="仿宋_GB2312" w:hAnsi="仿宋_GB2312" w:eastAsia="仿宋_GB2312" w:cs="仿宋_GB2312"/>
                <w:color w:val="000000"/>
                <w:sz w:val="21"/>
                <w:szCs w:val="21"/>
                <w:lang w:val="en-US" w:eastAsia="zh-CN"/>
              </w:rPr>
              <w:t>水利工程一级造价</w:t>
            </w:r>
            <w:bookmarkStart w:id="0" w:name="_GoBack"/>
            <w:bookmarkEnd w:id="0"/>
            <w:r>
              <w:rPr>
                <w:rFonts w:hint="eastAsia" w:ascii="仿宋_GB2312" w:hAnsi="仿宋_GB2312" w:eastAsia="仿宋_GB2312" w:cs="仿宋_GB2312"/>
                <w:color w:val="000000"/>
                <w:sz w:val="21"/>
                <w:szCs w:val="21"/>
                <w:lang w:val="en-US" w:eastAsia="zh-CN"/>
              </w:rPr>
              <w:t>工程师执业资格证书</w:t>
            </w:r>
            <w:r>
              <w:rPr>
                <w:rFonts w:hint="eastAsia" w:ascii="仿宋_GB2312" w:hAnsi="仿宋_GB2312" w:eastAsia="仿宋_GB2312" w:cs="仿宋_GB2312"/>
                <w:color w:val="000000"/>
                <w:sz w:val="21"/>
                <w:szCs w:val="21"/>
              </w:rPr>
              <w:t>；2.具有工程相关工作</w:t>
            </w:r>
            <w:r>
              <w:rPr>
                <w:rFonts w:hint="eastAsia" w:ascii="仿宋_GB2312" w:hAnsi="仿宋_GB2312" w:eastAsia="仿宋_GB2312" w:cs="仿宋_GB2312"/>
                <w:color w:val="000000"/>
                <w:sz w:val="21"/>
                <w:szCs w:val="21"/>
                <w:lang w:val="en-US" w:eastAsia="zh-CN"/>
              </w:rPr>
              <w:t>经历者优先</w:t>
            </w:r>
            <w:r>
              <w:rPr>
                <w:rFonts w:hint="eastAsia" w:ascii="仿宋_GB2312" w:hAnsi="仿宋_GB2312" w:eastAsia="仿宋_GB2312" w:cs="仿宋_GB2312"/>
                <w:color w:val="000000"/>
                <w:sz w:val="21"/>
                <w:szCs w:val="21"/>
              </w:rPr>
              <w:t>；3.热爱水利事业，有较强的组织协调能力和管理能力，吃苦耐劳，责任心强，有较强的沟通能力和团队合作精神；4.熟练操作办公软件，具备一定的计算机操作能力。</w:t>
            </w:r>
          </w:p>
        </w:tc>
        <w:tc>
          <w:tcPr>
            <w:tcW w:w="1718" w:type="dxa"/>
            <w:vAlign w:val="center"/>
          </w:tcPr>
          <w:p>
            <w:pPr>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1.具有水利工程一级造价工程师执业资格证书的可享受与监理工程师同等岗位及待遇；2.</w:t>
            </w:r>
            <w:r>
              <w:rPr>
                <w:rFonts w:hint="eastAsia" w:ascii="仿宋_GB2312" w:hAnsi="仿宋_GB2312" w:eastAsia="仿宋_GB2312" w:cs="仿宋_GB2312"/>
                <w:color w:val="000000"/>
                <w:kern w:val="0"/>
                <w:szCs w:val="21"/>
              </w:rPr>
              <w:t>至60周岁时合并社保缴费年限需满 15年。</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17F8C7-78E1-40BE-A372-BFA3884EA0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525BEB8A-874C-43F7-9ADB-DD7D910D3F8D}"/>
  </w:font>
  <w:font w:name="仿宋_GB2312">
    <w:panose1 w:val="02010609030101010101"/>
    <w:charset w:val="86"/>
    <w:family w:val="modern"/>
    <w:pitch w:val="default"/>
    <w:sig w:usb0="00000001" w:usb1="080E0000" w:usb2="00000000" w:usb3="00000000" w:csb0="00040000" w:csb1="00000000"/>
    <w:embedRegular r:id="rId3" w:fontKey="{932A44E2-9A60-4489-BDFD-28CF4095635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5NTk4NDFkNzYwOWU5ZjMzNDMyNTc0MGU0ODM0MDcifQ=="/>
  </w:docVars>
  <w:rsids>
    <w:rsidRoot w:val="128646DD"/>
    <w:rsid w:val="001C3F68"/>
    <w:rsid w:val="006417AC"/>
    <w:rsid w:val="015A7F2D"/>
    <w:rsid w:val="0D4545A7"/>
    <w:rsid w:val="128646DD"/>
    <w:rsid w:val="14201C14"/>
    <w:rsid w:val="24420A90"/>
    <w:rsid w:val="25493661"/>
    <w:rsid w:val="272F6E27"/>
    <w:rsid w:val="2D1F5B9B"/>
    <w:rsid w:val="2DCC62AB"/>
    <w:rsid w:val="371C7CF4"/>
    <w:rsid w:val="38E4436B"/>
    <w:rsid w:val="3CCF240A"/>
    <w:rsid w:val="42DA486D"/>
    <w:rsid w:val="4BCF3341"/>
    <w:rsid w:val="64CE7227"/>
    <w:rsid w:val="661D3810"/>
    <w:rsid w:val="69566764"/>
    <w:rsid w:val="70AA4C96"/>
    <w:rsid w:val="72B92643"/>
    <w:rsid w:val="74CF43BB"/>
    <w:rsid w:val="784745D1"/>
    <w:rsid w:val="792D45F0"/>
    <w:rsid w:val="7E0D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74</Words>
  <Characters>427</Characters>
  <Lines>3</Lines>
  <Paragraphs>1</Paragraphs>
  <TotalTime>3</TotalTime>
  <ScaleCrop>false</ScaleCrop>
  <LinksUpToDate>false</LinksUpToDate>
  <CharactersWithSpaces>500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2024-03-20T02:28:00Z</dcterms:created>
  <dc:creator>admin</dc:creator>
  <cp:lastModifiedBy>上善若水</cp:lastModifiedBy>
  <dcterms:modified xsi:type="dcterms:W3CDTF">2024-03-21T02:55:54Z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82C19CA07E604F55AA01184EF8FC7711_13</vt:lpwstr>
  </property>
</Properties>
</file>